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5843">
      <w:pPr>
        <w:rPr>
          <w:rFonts w:hint="eastAsia"/>
          <w:b/>
          <w:bCs/>
          <w:lang w:val="en-US" w:eastAsia="zh-CN"/>
        </w:rPr>
      </w:pPr>
      <w:r>
        <w:rPr>
          <w:rFonts w:hint="eastAsia"/>
          <w:b/>
          <w:bCs/>
          <w:lang w:val="en-US" w:eastAsia="zh-CN"/>
        </w:rPr>
        <w:t>对课程提出对问题列表</w:t>
      </w:r>
    </w:p>
    <w:p w14:paraId="450F950E">
      <w:pPr>
        <w:numPr>
          <w:numId w:val="0"/>
        </w:numPr>
        <w:rPr>
          <w:rFonts w:hint="default"/>
          <w:lang w:val="en-US" w:eastAsia="zh-CN"/>
        </w:rPr>
      </w:pPr>
      <w:r>
        <w:rPr>
          <w:rFonts w:hint="eastAsia"/>
          <w:lang w:val="en-US" w:eastAsia="zh-CN"/>
        </w:rPr>
        <w:t>1.数值模拟计算出的结果与观测结果完全吻合是否存在？这种情况该如何解释？这其中的模型误差和观测误差该如何考虑？</w:t>
      </w:r>
    </w:p>
    <w:p w14:paraId="6F0F6130">
      <w:pPr>
        <w:numPr>
          <w:numId w:val="0"/>
        </w:numPr>
        <w:rPr>
          <w:rFonts w:hint="default"/>
          <w:lang w:val="en-US" w:eastAsia="zh-CN"/>
        </w:rPr>
      </w:pPr>
      <w:r>
        <w:rPr>
          <w:rFonts w:hint="eastAsia"/>
          <w:lang w:val="en-US" w:eastAsia="zh-CN"/>
        </w:rPr>
        <w:t>2.是否可以在每个系列结束时增加一些经典参考文献，可供自行选择阅读？</w:t>
      </w:r>
    </w:p>
    <w:p w14:paraId="1868550D">
      <w:pPr>
        <w:rPr>
          <w:rFonts w:hint="default"/>
          <w:lang w:val="en-US" w:eastAsia="zh-CN"/>
        </w:rPr>
      </w:pPr>
      <w:r>
        <w:rPr>
          <w:rFonts w:hint="eastAsia"/>
          <w:lang w:val="en-US" w:eastAsia="zh-CN"/>
        </w:rPr>
        <w:t>3.宇宙学数值模拟的经典模型是否可以增加一点介绍？</w:t>
      </w:r>
    </w:p>
    <w:p w14:paraId="45473FC5">
      <w:pPr>
        <w:rPr>
          <w:rFonts w:hint="default"/>
          <w:lang w:val="en-US" w:eastAsia="zh-CN"/>
        </w:rPr>
      </w:pPr>
      <w:bookmarkStart w:id="0" w:name="_GoBack"/>
      <w:bookmarkEnd w:id="0"/>
    </w:p>
    <w:p w14:paraId="6FE7FC1C">
      <w:pPr>
        <w:rPr>
          <w:rFonts w:hint="default"/>
          <w:b/>
          <w:bCs/>
          <w:lang w:val="en-US" w:eastAsia="zh-CN"/>
        </w:rPr>
      </w:pPr>
      <w:r>
        <w:rPr>
          <w:rFonts w:hint="eastAsia"/>
          <w:b/>
          <w:bCs/>
          <w:lang w:val="en-US" w:eastAsia="zh-CN"/>
        </w:rPr>
        <w:t>使用预训练的大模型进行天文图像形态学分类的可行性的论证</w:t>
      </w:r>
    </w:p>
    <w:p w14:paraId="01269C60">
      <w:pPr>
        <w:ind w:firstLine="420" w:firstLineChars="0"/>
        <w:rPr>
          <w:rFonts w:hint="default"/>
          <w:lang w:val="en-US" w:eastAsia="zh-CN"/>
        </w:rPr>
      </w:pPr>
      <w:r>
        <w:rPr>
          <w:rFonts w:hint="default"/>
          <w:lang w:val="en-US" w:eastAsia="zh-CN"/>
        </w:rPr>
        <w:t xml:space="preserve">使用预训练的大型视觉模型权重是一种广泛接受且实用的特征提取方法。大量研究已经证明了其有效性。例如，Desanamukula 等（2024 年）利用预训练的 ResNet50 对植物疾病检测中的图像特征进行提取，从而提高了分类精度；Petrovska 等（2020 年）将预训练的 CNN 应用于遥感图像的特征提取，构建了高效的分类模型；Sakib 等（2022 年）微调多种预训练的 CNN 架构以识别行人属性；而 Liu 等（2023 年）通过大规模的 ConvNeXt 模型实现了真菌的自动化分类。这些研究（包括我们自己的工作）都表明，迁移学习可以显著减少训练时间和计算成本，是一种有效的方法。  </w:t>
      </w:r>
    </w:p>
    <w:p w14:paraId="266152B7">
      <w:pPr>
        <w:ind w:firstLine="420" w:firstLineChars="0"/>
        <w:rPr>
          <w:rFonts w:hint="default"/>
          <w:lang w:val="en-US" w:eastAsia="zh-CN"/>
        </w:rPr>
      </w:pPr>
      <w:r>
        <w:rPr>
          <w:rFonts w:hint="default"/>
          <w:lang w:val="en-US" w:eastAsia="zh-CN"/>
        </w:rPr>
        <w:t xml:space="preserve">尽管预训练数据与目标领域数据的差异可能影响特征提取性能，但对于共享基本视觉特征（如线条和局部模式）的图像，预训练模型仍然表现优异。例如，ImageNet 数据与星系形态学数据都具有可观察的视觉特征，因此在 ImageNet 上预训练的模型也适用于星系形态学特征提取。相反，对于诸如医学超声成像等领域，视觉特征之间的差异可能较大，通用的预训练模型难以适应，往往需要开发专门的模型和数据集。基于这种经验，我们认为在星系形态学领域，无需额外构建专门的大型数据库，而医学领域则需要专门的超声图像数据集和大模型以实现最佳性能。  </w:t>
      </w:r>
    </w:p>
    <w:p w14:paraId="0CCFE550">
      <w:pPr>
        <w:rPr>
          <w:rFonts w:hint="default"/>
          <w:lang w:val="en-US" w:eastAsia="zh-CN"/>
        </w:rPr>
      </w:pPr>
    </w:p>
    <w:p w14:paraId="33CD434D">
      <w:pPr>
        <w:rPr>
          <w:rFonts w:hint="default"/>
          <w:lang w:val="en-US" w:eastAsia="zh-CN"/>
        </w:rPr>
      </w:pPr>
      <w:r>
        <w:rPr>
          <w:rFonts w:hint="default"/>
          <w:lang w:val="en-US" w:eastAsia="zh-CN"/>
        </w:rPr>
        <w:t xml:space="preserve">1. 大模型的基本原理与迁移学习的优势  </w:t>
      </w:r>
    </w:p>
    <w:p w14:paraId="3DFE1298">
      <w:pPr>
        <w:rPr>
          <w:rFonts w:hint="default"/>
          <w:lang w:val="en-US" w:eastAsia="zh-CN"/>
        </w:rPr>
      </w:pPr>
      <w:r>
        <w:rPr>
          <w:rFonts w:hint="default"/>
          <w:lang w:val="en-US" w:eastAsia="zh-CN"/>
        </w:rPr>
        <w:t xml:space="preserve">大型视觉模型（如 ResNet、ConvNeXt）的核心原理是通过深度卷积神经网络（CNN）从大规模数据集中提取多层次特征，包括边缘、纹理、局部模式和高级语义信息。这些特征通过逐层抽象，可迁移到其他任务上。迁移学习利用了这些通用特征，尤其是在下游任务数据有限的情况下，直接应用预训练权重能够显著提高性能。这种方法具有以下优点：  </w:t>
      </w:r>
    </w:p>
    <w:p w14:paraId="14A0FA27">
      <w:pPr>
        <w:rPr>
          <w:rFonts w:hint="default"/>
          <w:lang w:val="en-US" w:eastAsia="zh-CN"/>
        </w:rPr>
      </w:pPr>
      <w:r>
        <w:rPr>
          <w:rFonts w:hint="default"/>
          <w:lang w:val="en-US" w:eastAsia="zh-CN"/>
        </w:rPr>
        <w:t xml:space="preserve">减少计算成本：不需要从零开始训练，节省了大量的训练时间和资源。  </w:t>
      </w:r>
    </w:p>
    <w:p w14:paraId="333E6674">
      <w:pPr>
        <w:rPr>
          <w:rFonts w:hint="default"/>
          <w:lang w:val="en-US" w:eastAsia="zh-CN"/>
        </w:rPr>
      </w:pPr>
      <w:r>
        <w:rPr>
          <w:rFonts w:hint="default"/>
          <w:lang w:val="en-US" w:eastAsia="zh-CN"/>
        </w:rPr>
        <w:t xml:space="preserve">加速模型收敛：预训练模型的权重已经在大规模数据上优化，提供了一个良好的初始化点，加速了下游任务的训练收敛速度。  </w:t>
      </w:r>
    </w:p>
    <w:p w14:paraId="20CC64E6">
      <w:pPr>
        <w:rPr>
          <w:rFonts w:hint="default"/>
          <w:lang w:val="en-US" w:eastAsia="zh-CN"/>
        </w:rPr>
      </w:pPr>
      <w:r>
        <w:rPr>
          <w:rFonts w:hint="default"/>
          <w:lang w:val="en-US" w:eastAsia="zh-CN"/>
        </w:rPr>
        <w:t xml:space="preserve">提升性能：即使在不同领域，只要视觉特征共享，预训练模型也能捕捉到有用的信息，从而提高精度。  </w:t>
      </w:r>
    </w:p>
    <w:p w14:paraId="7BCDDBE5">
      <w:pPr>
        <w:rPr>
          <w:rFonts w:hint="default"/>
          <w:lang w:val="en-US" w:eastAsia="zh-CN"/>
        </w:rPr>
      </w:pPr>
    </w:p>
    <w:p w14:paraId="2EEB3BED">
      <w:pPr>
        <w:rPr>
          <w:rFonts w:hint="default"/>
          <w:lang w:val="en-US" w:eastAsia="zh-CN"/>
        </w:rPr>
      </w:pPr>
      <w:r>
        <w:rPr>
          <w:rFonts w:hint="default"/>
          <w:lang w:val="en-US" w:eastAsia="zh-CN"/>
        </w:rPr>
        <w:t xml:space="preserve">2. 预训练模型在星系图像分类中的可行性  </w:t>
      </w:r>
    </w:p>
    <w:p w14:paraId="13112293">
      <w:pPr>
        <w:rPr>
          <w:rFonts w:hint="default"/>
          <w:lang w:val="en-US" w:eastAsia="zh-CN"/>
        </w:rPr>
      </w:pPr>
      <w:r>
        <w:rPr>
          <w:rFonts w:hint="default"/>
          <w:lang w:val="en-US" w:eastAsia="zh-CN"/>
        </w:rPr>
        <w:t xml:space="preserve">星系形态学数据通常包含复杂的视觉特征，例如螺旋结构、椭圆形状和其他局部模式。这些特征在很大程度上与 ImageNet 数据中的线条、边缘和纹理等基本视觉元素共享相似性。  </w:t>
      </w:r>
    </w:p>
    <w:p w14:paraId="3D787468">
      <w:pPr>
        <w:rPr>
          <w:rFonts w:hint="default"/>
          <w:lang w:val="en-US" w:eastAsia="zh-CN"/>
        </w:rPr>
      </w:pPr>
      <w:r>
        <w:rPr>
          <w:rFonts w:hint="default"/>
          <w:lang w:val="en-US" w:eastAsia="zh-CN"/>
        </w:rPr>
        <w:t xml:space="preserve"> 基础特征共享性：星系图像中的螺旋臂、星云结构与自然图像中的曲线和形状在底层特征层面一致。预训练的 ImageNet 模型可以提取这些基础特征，从而在星系图像分类中表现良好。应用示例：Liu 等（2023 年）通过预训练的 ConvNeXt 模型实现了真菌分类的高效自动化，同样的方法已被证明在星系形态学分类中也有效。例如，一些研究已经使用 ResNet 或 VGG 网络对 Sloan 数字巡天（SDSS）数据集中的星系图像进行分类，取得了较高的准确率。  </w:t>
      </w:r>
    </w:p>
    <w:p w14:paraId="02F0E074">
      <w:pPr>
        <w:rPr>
          <w:rFonts w:hint="default"/>
          <w:lang w:val="en-US" w:eastAsia="zh-CN"/>
        </w:rPr>
      </w:pPr>
      <w:r>
        <w:rPr>
          <w:rFonts w:hint="default"/>
          <w:lang w:val="en-US" w:eastAsia="zh-CN"/>
        </w:rPr>
        <w:t xml:space="preserve">时间与资源节省：构建专门的星系图像数据库成本高，而利用通用预训练模型可以避免重复劳动，同时降低硬件需求。  </w:t>
      </w:r>
    </w:p>
    <w:p w14:paraId="43D5CC9B">
      <w:pPr>
        <w:rPr>
          <w:rFonts w:hint="default"/>
          <w:lang w:val="en-US" w:eastAsia="zh-CN"/>
        </w:rPr>
      </w:pPr>
    </w:p>
    <w:p w14:paraId="5821C812">
      <w:pPr>
        <w:rPr>
          <w:rFonts w:hint="default"/>
          <w:lang w:val="en-US" w:eastAsia="zh-CN"/>
        </w:rPr>
      </w:pPr>
      <w:r>
        <w:rPr>
          <w:rFonts w:hint="default"/>
          <w:lang w:val="en-US" w:eastAsia="zh-CN"/>
        </w:rPr>
        <w:t xml:space="preserve">3. 领域差异对模型性能的影响  </w:t>
      </w:r>
    </w:p>
    <w:p w14:paraId="5308AA3B">
      <w:pPr>
        <w:ind w:firstLine="420" w:firstLineChars="0"/>
        <w:rPr>
          <w:rFonts w:hint="default"/>
          <w:lang w:val="en-US" w:eastAsia="zh-CN"/>
        </w:rPr>
      </w:pPr>
      <w:r>
        <w:rPr>
          <w:rFonts w:hint="default"/>
          <w:lang w:val="en-US" w:eastAsia="zh-CN"/>
        </w:rPr>
        <w:t xml:space="preserve">尽管预训练模型在许多任务中表现优异，但领域差异仍可能影响特征提取性能。例如，医学超声图像中的特征与 ImageNet 数据中的自然图像存在显著差异。这种情况下，预训练模型的低层特征（如边缘）可能仍有用，但高层语义特征未必适用，可能导致性能下降。  </w:t>
      </w:r>
    </w:p>
    <w:p w14:paraId="125B1161">
      <w:pPr>
        <w:rPr>
          <w:rFonts w:hint="default"/>
          <w:lang w:val="en-US" w:eastAsia="zh-CN"/>
        </w:rPr>
      </w:pPr>
      <w:r>
        <w:rPr>
          <w:rFonts w:hint="default"/>
          <w:lang w:val="en-US" w:eastAsia="zh-CN"/>
        </w:rPr>
        <w:t xml:space="preserve">医疗领域的挑战：超声图像的纹理和模式往往与自然图像完全不同，预训练模型在此类数据上难以直接迁移，需要专门设计模型并进行从零开始的训练。  </w:t>
      </w:r>
    </w:p>
    <w:p w14:paraId="0A593EAF">
      <w:pPr>
        <w:rPr>
          <w:rFonts w:hint="default"/>
          <w:lang w:val="en-US" w:eastAsia="zh-CN"/>
        </w:rPr>
      </w:pPr>
      <w:r>
        <w:rPr>
          <w:rFonts w:hint="default"/>
          <w:lang w:val="en-US" w:eastAsia="zh-CN"/>
        </w:rPr>
        <w:t xml:space="preserve">星系数据的优势：相比之下，星系图像的视觉特征更加通用，预训练模型提取的边缘和局部模式在此类任务上更易迁移，降低了对专门模型的需求。  </w:t>
      </w:r>
    </w:p>
    <w:p w14:paraId="5AF1253C">
      <w:pPr>
        <w:rPr>
          <w:rFonts w:hint="default"/>
          <w:lang w:val="en-US" w:eastAsia="zh-CN"/>
        </w:rPr>
      </w:pPr>
    </w:p>
    <w:p w14:paraId="3BB9388A">
      <w:pPr>
        <w:rPr>
          <w:rFonts w:hint="default"/>
          <w:lang w:val="en-US" w:eastAsia="zh-CN"/>
        </w:rPr>
      </w:pPr>
      <w:r>
        <w:rPr>
          <w:rFonts w:hint="default"/>
          <w:lang w:val="en-US" w:eastAsia="zh-CN"/>
        </w:rPr>
        <w:t xml:space="preserve">4. 综合论证：星系图像分类的适用性  </w:t>
      </w:r>
    </w:p>
    <w:p w14:paraId="03B9E524">
      <w:pPr>
        <w:ind w:firstLine="420" w:firstLineChars="0"/>
        <w:rPr>
          <w:rFonts w:hint="default"/>
          <w:lang w:val="en-US" w:eastAsia="zh-CN"/>
        </w:rPr>
      </w:pPr>
      <w:r>
        <w:rPr>
          <w:rFonts w:hint="default"/>
          <w:lang w:val="en-US" w:eastAsia="zh-CN"/>
        </w:rPr>
        <w:t xml:space="preserve">结合理论和实验结果，可以得出以下结论：  </w:t>
      </w:r>
    </w:p>
    <w:p w14:paraId="1D0DF5A6">
      <w:pPr>
        <w:rPr>
          <w:rFonts w:hint="default"/>
          <w:lang w:val="en-US" w:eastAsia="zh-CN"/>
        </w:rPr>
      </w:pPr>
      <w:r>
        <w:rPr>
          <w:rFonts w:hint="default"/>
          <w:lang w:val="en-US" w:eastAsia="zh-CN"/>
        </w:rPr>
        <w:t xml:space="preserve">高效性：预训练模型可直接应用于星系图像分类任务，无需专门的大型数据库，从而显著节约资源。  </w:t>
      </w:r>
    </w:p>
    <w:p w14:paraId="3D64B30E">
      <w:pPr>
        <w:rPr>
          <w:rFonts w:hint="default"/>
          <w:lang w:val="en-US" w:eastAsia="zh-CN"/>
        </w:rPr>
      </w:pPr>
      <w:r>
        <w:rPr>
          <w:rFonts w:hint="default"/>
          <w:lang w:val="en-US" w:eastAsia="zh-CN"/>
        </w:rPr>
        <w:t xml:space="preserve">准确性：由于视觉特征的通用性，预训练模型在星系图像分类中能够达到较高精度。这种方法已被多个领域验证，包括真菌分类、植物病害检测和遥感图像处理。  </w:t>
      </w:r>
    </w:p>
    <w:p w14:paraId="521D94A5">
      <w:pPr>
        <w:rPr>
          <w:rFonts w:hint="default"/>
          <w:lang w:val="en-US" w:eastAsia="zh-CN"/>
        </w:rPr>
      </w:pPr>
      <w:r>
        <w:rPr>
          <w:rFonts w:hint="default"/>
          <w:lang w:val="en-US" w:eastAsia="zh-CN"/>
        </w:rPr>
        <w:t xml:space="preserve">灵活性：对于需要更高精度的任务，可通过微调预训练模型进一步提升性能，而非从零开始设计模型。  </w:t>
      </w:r>
    </w:p>
    <w:p w14:paraId="4ED3C417">
      <w:pPr>
        <w:rPr>
          <w:rFonts w:hint="default"/>
          <w:lang w:val="en-US" w:eastAsia="zh-CN"/>
        </w:rPr>
      </w:pPr>
    </w:p>
    <w:p w14:paraId="07512430">
      <w:pPr>
        <w:rPr>
          <w:rFonts w:hint="default"/>
          <w:b w:val="0"/>
          <w:bCs w:val="0"/>
          <w:lang w:val="en-US" w:eastAsia="zh-CN"/>
        </w:rPr>
      </w:pPr>
      <w:r>
        <w:rPr>
          <w:rFonts w:hint="default"/>
          <w:b w:val="0"/>
          <w:bCs w:val="0"/>
          <w:lang w:val="en-US" w:eastAsia="zh-CN"/>
        </w:rPr>
        <w:t xml:space="preserve">5. 未来方向  </w:t>
      </w:r>
    </w:p>
    <w:p w14:paraId="16081E81">
      <w:pPr>
        <w:ind w:firstLine="420" w:firstLineChars="0"/>
        <w:rPr>
          <w:rFonts w:hint="default"/>
          <w:lang w:val="en-US" w:eastAsia="zh-CN"/>
        </w:rPr>
      </w:pPr>
      <w:r>
        <w:rPr>
          <w:rFonts w:hint="default"/>
          <w:lang w:val="en-US" w:eastAsia="zh-CN"/>
        </w:rPr>
        <w:t xml:space="preserve">尽管预训练模型在星系图像分类中表现出色，但仍有改进空间：  </w:t>
      </w:r>
    </w:p>
    <w:p w14:paraId="3816DE04">
      <w:pPr>
        <w:rPr>
          <w:rFonts w:hint="default"/>
          <w:lang w:val="en-US" w:eastAsia="zh-CN"/>
        </w:rPr>
      </w:pPr>
      <w:r>
        <w:rPr>
          <w:rFonts w:hint="default"/>
          <w:lang w:val="en-US" w:eastAsia="zh-CN"/>
        </w:rPr>
        <w:t xml:space="preserve">多领域数据集的混合预训练：通过融合自然图像和天文图像进行预训练，可能进一步提高模型对星系图像的适应性。  </w:t>
      </w:r>
    </w:p>
    <w:p w14:paraId="09C9E0B8">
      <w:pPr>
        <w:rPr>
          <w:rFonts w:hint="default"/>
          <w:lang w:val="en-US" w:eastAsia="zh-CN"/>
        </w:rPr>
      </w:pPr>
      <w:r>
        <w:rPr>
          <w:rFonts w:hint="default"/>
          <w:lang w:val="en-US" w:eastAsia="zh-CN"/>
        </w:rPr>
        <w:t xml:space="preserve">模型结构优化：针对天文数据的特点，对现有模型结构进行调整，例如引入注意力机制来捕捉星系中更复杂的模式。  </w:t>
      </w:r>
    </w:p>
    <w:p w14:paraId="2F37D25B">
      <w:pPr>
        <w:rPr>
          <w:rFonts w:hint="default"/>
          <w:lang w:val="en-US" w:eastAsia="zh-CN"/>
        </w:rPr>
      </w:pPr>
      <w:r>
        <w:rPr>
          <w:rFonts w:hint="default"/>
          <w:lang w:val="en-US" w:eastAsia="zh-CN"/>
        </w:rPr>
        <w:t xml:space="preserve">跨领域研究：探索如何更有效地将预训练模型应用于其他领域，例如医疗影像、遥感图像等，发展更通用的迁移学习方法。  </w:t>
      </w:r>
    </w:p>
    <w:p w14:paraId="34FF5A7A">
      <w:pPr>
        <w:ind w:firstLine="210" w:firstLineChars="100"/>
        <w:rPr>
          <w:rFonts w:hint="default"/>
          <w:lang w:val="en-US" w:eastAsia="zh-CN"/>
        </w:rPr>
      </w:pPr>
      <w:r>
        <w:rPr>
          <w:rFonts w:hint="default"/>
          <w:lang w:val="en-US" w:eastAsia="zh-CN"/>
        </w:rPr>
        <w:t>总之，预训练模型为星系图像分类提供了一种高效、可行且具有普适性的解决方案，同时为天文研究和其他领域的任务提供了新思路。</w:t>
      </w:r>
    </w:p>
    <w:p w14:paraId="7DA9D52E">
      <w:pPr>
        <w:ind w:firstLine="210" w:firstLineChars="100"/>
        <w:rPr>
          <w:rFonts w:hint="default"/>
          <w:lang w:val="en-US" w:eastAsia="zh-CN"/>
        </w:rPr>
      </w:pPr>
    </w:p>
    <w:p w14:paraId="486E98B6">
      <w:pPr>
        <w:ind w:firstLine="210" w:firstLineChars="100"/>
        <w:rPr>
          <w:rFonts w:hint="default"/>
          <w:lang w:val="en-US" w:eastAsia="zh-CN"/>
        </w:rPr>
      </w:pPr>
      <w:r>
        <w:rPr>
          <w:rFonts w:hint="default"/>
          <w:lang w:val="en-US" w:eastAsia="zh-CN"/>
        </w:rPr>
        <w:t>Reference</w:t>
      </w:r>
    </w:p>
    <w:p w14:paraId="77B78929">
      <w:pPr>
        <w:ind w:firstLine="210" w:firstLineChars="100"/>
        <w:rPr>
          <w:rFonts w:hint="default"/>
          <w:lang w:val="en-US" w:eastAsia="zh-CN"/>
        </w:rPr>
      </w:pPr>
      <w:r>
        <w:rPr>
          <w:rFonts w:hint="default"/>
          <w:lang w:val="en-US" w:eastAsia="zh-CN"/>
        </w:rPr>
        <w:t>Liu, Z., Mao, H., Wu, C.-Y., et al. 2022, CVPR, 11966–11976 686</w:t>
      </w:r>
    </w:p>
    <w:p w14:paraId="532CFD7B">
      <w:pPr>
        <w:ind w:firstLine="210" w:firstLineChars="100"/>
        <w:rPr>
          <w:rFonts w:hint="default"/>
          <w:lang w:val="en-US" w:eastAsia="zh-CN"/>
        </w:rPr>
      </w:pPr>
      <w:r>
        <w:rPr>
          <w:rFonts w:hint="default"/>
          <w:lang w:val="en-US" w:eastAsia="zh-CN"/>
        </w:rPr>
        <w:t>Liu, Z., Zhang, F., Cheng, L., et al. 2023, CoRR, abs/2311.08995</w:t>
      </w:r>
    </w:p>
    <w:p w14:paraId="6B74618E">
      <w:pPr>
        <w:ind w:firstLine="210" w:firstLineChars="100"/>
        <w:rPr>
          <w:rFonts w:hint="default"/>
          <w:lang w:val="en-US" w:eastAsia="zh-CN"/>
        </w:rPr>
      </w:pPr>
      <w:r>
        <w:rPr>
          <w:rFonts w:hint="default"/>
          <w:lang w:val="en-US" w:eastAsia="zh-CN"/>
        </w:rPr>
        <w:t>V. S. Desanamukula, T. Dharma Teja and P. Rajitha, ICICT, 2024, 614-621</w:t>
      </w:r>
    </w:p>
    <w:p w14:paraId="542F5746">
      <w:pPr>
        <w:ind w:firstLine="210" w:firstLineChars="100"/>
        <w:rPr>
          <w:rFonts w:hint="default"/>
          <w:lang w:val="en-US" w:eastAsia="zh-CN"/>
        </w:rPr>
      </w:pPr>
      <w:r>
        <w:rPr>
          <w:rFonts w:hint="default"/>
          <w:lang w:val="en-US" w:eastAsia="zh-CN"/>
        </w:rPr>
        <w:t>Petrovska B, Zdravevski E, Lameski P., et al. 2020, Sensors, 20, 14</w:t>
      </w:r>
    </w:p>
    <w:p w14:paraId="5BFEAFCF">
      <w:pPr>
        <w:ind w:firstLine="210" w:firstLineChars="100"/>
        <w:rPr>
          <w:rFonts w:hint="default"/>
          <w:lang w:val="en-US" w:eastAsia="zh-CN"/>
        </w:rPr>
      </w:pPr>
      <w:r>
        <w:rPr>
          <w:rFonts w:hint="default"/>
          <w:lang w:val="en-US" w:eastAsia="zh-CN"/>
        </w:rPr>
        <w:t>Sakib S, Deb K, Dhar PK, Kwon O-J. Applied Sciences. 2022; 12,2</w:t>
      </w:r>
    </w:p>
    <w:p w14:paraId="0B0D9DEB">
      <w:pPr>
        <w:ind w:firstLine="210" w:firstLineChars="100"/>
        <w:rPr>
          <w:rFonts w:hint="default"/>
          <w:lang w:val="en-US" w:eastAsia="zh-CN"/>
        </w:rPr>
      </w:pPr>
      <w:r>
        <w:rPr>
          <w:rFonts w:hint="default"/>
          <w:lang w:val="en-US" w:eastAsia="zh-CN"/>
        </w:rPr>
        <w:t>Zhou, C., Gu, Y., Fang, G., &amp; Lin, Z. 2022, AJ, 163, 86</w:t>
      </w:r>
    </w:p>
    <w:p w14:paraId="53A66473">
      <w:pPr>
        <w:ind w:firstLine="210" w:firstLineChars="100"/>
        <w:rPr>
          <w:rFonts w:hint="default"/>
          <w:lang w:val="en-US" w:eastAsia="zh-CN"/>
        </w:rPr>
      </w:pPr>
      <w:r>
        <w:rPr>
          <w:rFonts w:hint="default"/>
          <w:lang w:val="en-US" w:eastAsia="zh-CN"/>
        </w:rPr>
        <w:t>Fang, G., Ba, S., Gu, Y., et al. 2023, AJ, 165, 35</w:t>
      </w:r>
    </w:p>
    <w:p w14:paraId="3365576B">
      <w:pPr>
        <w:ind w:firstLine="210" w:firstLineChars="100"/>
        <w:rPr>
          <w:rFonts w:hint="default"/>
          <w:lang w:val="en-US" w:eastAsia="zh-CN"/>
        </w:rPr>
      </w:pPr>
      <w:r>
        <w:rPr>
          <w:rFonts w:hint="default"/>
          <w:lang w:val="en-US" w:eastAsia="zh-CN"/>
        </w:rPr>
        <w:t>Dai, Y., Xu, J., Song, J., et al. 2023, ApJS, 268, 34</w:t>
      </w:r>
    </w:p>
    <w:p w14:paraId="64898768">
      <w:pPr>
        <w:ind w:firstLine="210" w:firstLineChars="100"/>
        <w:rPr>
          <w:rFonts w:hint="default"/>
          <w:lang w:val="en-US" w:eastAsia="zh-CN"/>
        </w:rPr>
      </w:pPr>
      <w:r>
        <w:rPr>
          <w:rFonts w:hint="default"/>
          <w:lang w:val="en-US" w:eastAsia="zh-CN"/>
        </w:rPr>
        <w:t>Song, J., Fang, G., Ba, S., et al. 2024, ApJS, 272, 42</w:t>
      </w:r>
    </w:p>
    <w:p w14:paraId="0F1482EE">
      <w:pPr>
        <w:ind w:firstLine="210" w:firstLineChars="100"/>
        <w:rPr>
          <w:rFonts w:hint="default"/>
          <w:lang w:val="en-US" w:eastAsia="zh-CN"/>
        </w:rPr>
      </w:pPr>
      <w:r>
        <w:rPr>
          <w:rFonts w:hint="default"/>
          <w:lang w:val="en-US" w:eastAsia="zh-CN"/>
        </w:rPr>
        <w:t>Buitrago, F., Trujillo, I., Conselice, C. J., &amp; H¨außler, B. 2013, MNRAS, 428, 1460,</w:t>
      </w:r>
    </w:p>
    <w:p w14:paraId="0AB2B8C2">
      <w:pPr>
        <w:ind w:firstLine="210" w:firstLineChars="100"/>
        <w:rPr>
          <w:rFonts w:hint="default"/>
          <w:lang w:val="en-US" w:eastAsia="zh-CN"/>
        </w:rPr>
      </w:pPr>
      <w:r>
        <w:rPr>
          <w:rFonts w:hint="default"/>
          <w:lang w:val="en-US" w:eastAsia="zh-CN"/>
        </w:rPr>
        <w:t>Conselice, C. J., Rajgor, S., &amp; Myers, R. 2008, MNRAS, 386, 909</w:t>
      </w:r>
    </w:p>
    <w:p w14:paraId="314F9A2C">
      <w:pPr>
        <w:ind w:firstLine="210" w:firstLineChars="100"/>
        <w:rPr>
          <w:rFonts w:hint="default"/>
          <w:lang w:val="en-US" w:eastAsia="zh-CN"/>
        </w:rPr>
      </w:pPr>
      <w:r>
        <w:rPr>
          <w:rFonts w:hint="default"/>
          <w:lang w:val="en-US" w:eastAsia="zh-CN"/>
        </w:rPr>
        <w:t>Conselice, C. J. 2014, ARA&amp;A, 52, 291653</w:t>
      </w:r>
    </w:p>
    <w:p w14:paraId="412FD2AE">
      <w:pPr>
        <w:ind w:firstLine="210" w:firstLineChars="100"/>
        <w:rPr>
          <w:rFonts w:hint="default"/>
          <w:lang w:val="en-US" w:eastAsia="zh-CN"/>
        </w:rPr>
      </w:pPr>
      <w:r>
        <w:rPr>
          <w:rFonts w:hint="default"/>
          <w:lang w:val="en-US" w:eastAsia="zh-CN"/>
        </w:rPr>
        <w:t>Kartaltepe, J. S., Rose, C., Vanderhoof, B. N., et al. 2023, ApJL, 946, L15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BF2BB1"/>
    <w:rsid w:val="25D7ADEB"/>
    <w:rsid w:val="37FFE225"/>
    <w:rsid w:val="6B3B275C"/>
    <w:rsid w:val="F27DB86B"/>
    <w:rsid w:val="FDBF2BB1"/>
    <w:rsid w:val="FFBF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2024-12-30T07:37:00Z</dcterms:created>
  <dc:creator>吃蛋糕的大爷</dc:creator>
  <cp:lastModifiedBy>吃蛋糕的大爷</cp:lastModifiedBy>
  <dcterms:modified xsi:type="dcterms:W3CDTF">2024-12-30T07:57:44Z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EEC663AD6F9D006355DD7167B44F8983_41</vt:lpwstr>
  </property>
</Properties>
</file>